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5541A" w:rsidP="00F9240F">
      <w:pPr>
        <w:pStyle w:val="Heading1"/>
        <w:rPr>
          <w:rtl/>
        </w:rPr>
      </w:pPr>
      <w:r>
        <w:rPr>
          <w:rFonts w:hint="cs"/>
          <w:rtl/>
        </w:rPr>
        <w:t>מולקולות הנוגדן: מבנה ותפקוד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9123E" w:rsidRDefault="00D9123E" w:rsidP="00EB768B">
      <w:pPr>
        <w:numPr>
          <w:ilvl w:val="0"/>
          <w:numId w:val="21"/>
        </w:numPr>
        <w:spacing w:line="360" w:lineRule="auto"/>
        <w:rPr>
          <w:rtl/>
        </w:rPr>
      </w:pPr>
      <w:r w:rsidRPr="00D9123E">
        <w:rPr>
          <w:rFonts w:cs="Arial" w:hint="cs"/>
          <w:rtl/>
        </w:rPr>
        <w:t>נסה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לשער</w:t>
      </w:r>
      <w:r w:rsidRPr="00D9123E">
        <w:rPr>
          <w:rFonts w:cs="Arial"/>
          <w:rtl/>
        </w:rPr>
        <w:t xml:space="preserve">, </w:t>
      </w:r>
      <w:r w:rsidRPr="00D9123E">
        <w:rPr>
          <w:rFonts w:cs="Arial" w:hint="cs"/>
          <w:rtl/>
        </w:rPr>
        <w:t>מה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היתרון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שיש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למולקולת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הנוגדן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בכך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שהיא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בנויה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משני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סוגים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של</w:t>
      </w:r>
      <w:r w:rsidRPr="00D9123E">
        <w:rPr>
          <w:rFonts w:cs="Arial"/>
          <w:rtl/>
        </w:rPr>
        <w:t xml:space="preserve"> </w:t>
      </w:r>
      <w:r w:rsidRPr="00D9123E">
        <w:rPr>
          <w:rFonts w:cs="Arial" w:hint="cs"/>
          <w:rtl/>
        </w:rPr>
        <w:t>שרשרות</w:t>
      </w:r>
      <w:r w:rsidRPr="00D9123E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12475B" w:rsidRDefault="00EB768B" w:rsidP="00A54D9F">
      <w:pPr>
        <w:spacing w:line="320" w:lineRule="exact"/>
        <w:ind w:left="20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2. </w:t>
      </w:r>
      <w:r w:rsidR="0012475B">
        <w:rPr>
          <w:rFonts w:hint="cs"/>
          <w:color w:val="000000"/>
          <w:sz w:val="24"/>
          <w:szCs w:val="24"/>
          <w:rtl/>
        </w:rPr>
        <w:t>כבר למדנו שמערכת החיסון יכולה לייצר מספר עצום של נוגדנים (כ</w:t>
      </w:r>
      <w:r w:rsidR="0012475B">
        <w:rPr>
          <w:rFonts w:cs="Times New Roman"/>
          <w:color w:val="000000"/>
          <w:sz w:val="24"/>
          <w:szCs w:val="24"/>
        </w:rPr>
        <w:t>-</w:t>
      </w:r>
      <w:r w:rsidR="0012475B">
        <w:rPr>
          <w:rFonts w:hint="cs"/>
          <w:color w:val="000000"/>
          <w:sz w:val="24"/>
          <w:szCs w:val="18"/>
          <w:vertAlign w:val="superscript"/>
          <w:rtl/>
        </w:rPr>
        <w:t>8</w:t>
      </w:r>
      <w:r w:rsidR="0012475B">
        <w:rPr>
          <w:rFonts w:hint="cs"/>
          <w:color w:val="000000"/>
          <w:sz w:val="24"/>
          <w:szCs w:val="24"/>
          <w:rtl/>
        </w:rPr>
        <w:t>10 נוגדנים.</w:t>
      </w:r>
      <w:r w:rsidR="00A54D9F">
        <w:rPr>
          <w:rFonts w:hint="cs"/>
          <w:color w:val="000000"/>
          <w:sz w:val="24"/>
          <w:szCs w:val="24"/>
          <w:rtl/>
        </w:rPr>
        <w:t>)</w:t>
      </w:r>
      <w:r w:rsidR="0012475B">
        <w:rPr>
          <w:rFonts w:hint="cs"/>
          <w:color w:val="000000"/>
          <w:sz w:val="24"/>
          <w:szCs w:val="24"/>
          <w:rtl/>
        </w:rPr>
        <w:t xml:space="preserve"> כמו כן נשאלה השאלה, כיצד יכולה  מערכת החיסון לייצר נוגדנים ספציפיים לכל האנטיגנים האפשריים? לשאלה זו ניתנה תשובה ברמה התאית. בשלב זה ננסה לדון בבעיה זו ברמה מ</w:t>
      </w:r>
      <w:bookmarkStart w:id="0" w:name="_GoBack"/>
      <w:bookmarkEnd w:id="0"/>
      <w:r w:rsidR="0012475B">
        <w:rPr>
          <w:rFonts w:hint="cs"/>
          <w:color w:val="000000"/>
          <w:sz w:val="24"/>
          <w:szCs w:val="24"/>
          <w:rtl/>
        </w:rPr>
        <w:t>ולקולרית.</w:t>
      </w:r>
      <w:r w:rsidR="00A54D9F">
        <w:rPr>
          <w:rFonts w:hint="cs"/>
          <w:color w:val="000000"/>
          <w:sz w:val="24"/>
          <w:szCs w:val="24"/>
          <w:rtl/>
        </w:rPr>
        <w:t xml:space="preserve"> </w:t>
      </w:r>
      <w:r w:rsidR="0012475B">
        <w:rPr>
          <w:rFonts w:hint="cs"/>
          <w:color w:val="000000"/>
          <w:sz w:val="24"/>
          <w:szCs w:val="24"/>
          <w:rtl/>
        </w:rPr>
        <w:t>מאחר שאתר הקישור של הנוגדן בנוי משני סוגים של שרשרות, השוני בין אתרי קישור שונים מתבסס על:</w:t>
      </w:r>
    </w:p>
    <w:p w:rsidR="0012475B" w:rsidRDefault="0012475B" w:rsidP="00A54D9F">
      <w:pPr>
        <w:numPr>
          <w:ilvl w:val="0"/>
          <w:numId w:val="20"/>
        </w:numPr>
        <w:spacing w:line="320" w:lineRule="exact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הבדלים ברצף החומצות האמיניות בין השרשרות הקלות השונות.</w:t>
      </w:r>
    </w:p>
    <w:p w:rsidR="0012475B" w:rsidRDefault="0012475B" w:rsidP="00A54D9F">
      <w:pPr>
        <w:numPr>
          <w:ilvl w:val="0"/>
          <w:numId w:val="20"/>
        </w:numPr>
        <w:spacing w:line="320" w:lineRule="exact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הבדלים ברצף החומצות האמיניות בין השרשרות הכבדות השונות.</w:t>
      </w:r>
    </w:p>
    <w:p w:rsidR="0012475B" w:rsidRDefault="0012475B" w:rsidP="00A54D9F">
      <w:pPr>
        <w:numPr>
          <w:ilvl w:val="0"/>
          <w:numId w:val="20"/>
        </w:numPr>
        <w:spacing w:line="320" w:lineRule="exact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הבדלים בין הצירופים השונים של השרשרות הקלות והכבדות.</w:t>
      </w:r>
    </w:p>
    <w:p w:rsidR="0012475B" w:rsidRDefault="0012475B" w:rsidP="00A54D9F">
      <w:pPr>
        <w:spacing w:line="320" w:lineRule="exact"/>
        <w:ind w:left="20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כל צירוף מכיר דטרמיננטה אנטיגנית שונה. לכן מספר השרשרות שנחוצות ליצירת 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28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9.75pt" o:ole="">
            <v:imagedata r:id="rId6" o:title=""/>
          </v:shape>
          <o:OLEObject Type="Embed" ProgID="Word.Picture.8" ShapeID="_x0000_i1025" DrawAspect="Content" ObjectID="_1534764965" r:id="rId7"/>
        </w:object>
      </w:r>
      <w:r>
        <w:rPr>
          <w:rFonts w:hint="cs"/>
          <w:color w:val="000000"/>
          <w:sz w:val="24"/>
          <w:szCs w:val="24"/>
          <w:rtl/>
        </w:rPr>
        <w:t xml:space="preserve"> אתרי קישור הוא רק 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615" w:dyaOrig="240">
          <v:shape id="_x0000_i1026" type="#_x0000_t75" style="width:30.75pt;height:12pt" o:ole="">
            <v:imagedata r:id="rId8" o:title=""/>
          </v:shape>
          <o:OLEObject Type="Embed" ProgID="Word.Picture.8" ShapeID="_x0000_i1026" DrawAspect="Content" ObjectID="_1534764966" r:id="rId9"/>
        </w:object>
      </w:r>
      <w:r>
        <w:rPr>
          <w:rFonts w:hint="cs"/>
          <w:color w:val="000000"/>
          <w:sz w:val="24"/>
          <w:szCs w:val="24"/>
          <w:rtl/>
        </w:rPr>
        <w:t xml:space="preserve">: 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285" w:dyaOrig="195">
          <v:shape id="_x0000_i1027" type="#_x0000_t75" style="width:14.25pt;height:9.75pt" o:ole="">
            <v:imagedata r:id="rId10" o:title=""/>
          </v:shape>
          <o:OLEObject Type="Embed" ProgID="Word.Picture.8" ShapeID="_x0000_i1027" DrawAspect="Content" ObjectID="_1534764967" r:id="rId11"/>
        </w:object>
      </w:r>
      <w:r>
        <w:rPr>
          <w:rFonts w:hint="cs"/>
          <w:color w:val="000000"/>
          <w:sz w:val="24"/>
          <w:szCs w:val="24"/>
          <w:rtl/>
        </w:rPr>
        <w:t xml:space="preserve"> שרשרות קלות ו-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285" w:dyaOrig="195">
          <v:shape id="_x0000_i1028" type="#_x0000_t75" style="width:14.25pt;height:9.75pt" o:ole="">
            <v:imagedata r:id="rId12" o:title=""/>
          </v:shape>
          <o:OLEObject Type="Embed" ProgID="Word.Picture.8" ShapeID="_x0000_i1028" DrawAspect="Content" ObjectID="_1534764968" r:id="rId13"/>
        </w:object>
      </w:r>
      <w:r>
        <w:rPr>
          <w:rFonts w:hint="cs"/>
          <w:color w:val="000000"/>
          <w:sz w:val="24"/>
          <w:szCs w:val="24"/>
          <w:rtl/>
        </w:rPr>
        <w:t xml:space="preserve"> שרשרות כבדות יוצרות 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285" w:dyaOrig="195">
          <v:shape id="_x0000_i1029" type="#_x0000_t75" style="width:14.25pt;height:9.75pt" o:ole="">
            <v:imagedata r:id="rId14" o:title=""/>
          </v:shape>
          <o:OLEObject Type="Embed" ProgID="Word.Picture.8" ShapeID="_x0000_i1029" DrawAspect="Content" ObjectID="_1534764969" r:id="rId15"/>
        </w:object>
      </w:r>
      <w:r>
        <w:rPr>
          <w:rFonts w:hint="cs"/>
          <w:color w:val="000000"/>
          <w:sz w:val="24"/>
          <w:szCs w:val="24"/>
          <w:rtl/>
        </w:rPr>
        <w:t xml:space="preserve"> צירופים אפשריים. מבדיקת המבנה הכימי של הגנים </w:t>
      </w:r>
      <w:proofErr w:type="spellStart"/>
      <w:r>
        <w:rPr>
          <w:rFonts w:hint="cs"/>
          <w:color w:val="000000"/>
          <w:sz w:val="24"/>
          <w:szCs w:val="24"/>
          <w:rtl/>
        </w:rPr>
        <w:t>לאימונוגלובולינים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התברר, כי מספר הגנים לכל  אחת מהשרשרות קטן בהרבה מ-</w:t>
      </w:r>
      <w:r>
        <w:rPr>
          <w:rFonts w:ascii="Times New Roman" w:eastAsiaTheme="minorEastAsia" w:hAnsi="Times New Roman" w:cs="David"/>
          <w:noProof/>
          <w:color w:val="000000"/>
          <w:sz w:val="20"/>
          <w:szCs w:val="20"/>
          <w:rtl/>
        </w:rPr>
        <w:object w:dxaOrig="285" w:dyaOrig="240">
          <v:shape id="_x0000_i1030" type="#_x0000_t75" style="width:14.25pt;height:12pt" o:ole="">
            <v:imagedata r:id="rId16" o:title=""/>
          </v:shape>
          <o:OLEObject Type="Embed" ProgID="Word.Picture.8" ShapeID="_x0000_i1030" DrawAspect="Content" ObjectID="_1534764970" r:id="rId17"/>
        </w:object>
      </w:r>
      <w:r>
        <w:rPr>
          <w:rFonts w:hint="cs"/>
          <w:color w:val="000000"/>
          <w:sz w:val="24"/>
          <w:szCs w:val="24"/>
          <w:rtl/>
        </w:rPr>
        <w:t xml:space="preserve">. </w:t>
      </w:r>
      <w:r w:rsidR="00A54D9F">
        <w:rPr>
          <w:rFonts w:hint="cs"/>
          <w:color w:val="000000"/>
          <w:sz w:val="24"/>
          <w:szCs w:val="24"/>
          <w:rtl/>
        </w:rPr>
        <w:t xml:space="preserve"> </w:t>
      </w:r>
      <w:r>
        <w:rPr>
          <w:rFonts w:hint="cs"/>
          <w:color w:val="000000"/>
          <w:sz w:val="24"/>
          <w:szCs w:val="24"/>
          <w:rtl/>
        </w:rPr>
        <w:t>על שני מנגנונים נוספים המאפשרים יצירה של מספר גדול</w:t>
      </w:r>
      <w:r w:rsidR="00A54D9F">
        <w:rPr>
          <w:rFonts w:hint="cs"/>
          <w:color w:val="000000"/>
          <w:sz w:val="24"/>
          <w:szCs w:val="24"/>
          <w:rtl/>
        </w:rPr>
        <w:t xml:space="preserve"> של שרשרות שונות ממספר גנים קטן. </w:t>
      </w:r>
      <w:r>
        <w:rPr>
          <w:rFonts w:hint="cs"/>
          <w:color w:val="000000"/>
          <w:sz w:val="24"/>
          <w:szCs w:val="24"/>
          <w:rtl/>
        </w:rPr>
        <w:t xml:space="preserve">ברור כי היתרון שיש למבנה מולקולת הנוגדן הוא בהיותה בנויה משני סוגים של שרשרות, דבר המאפשר לה ליצור  מספר גדול של אתרי קישור ממספר  קטן יחסית של גנים. </w:t>
      </w:r>
    </w:p>
    <w:p w:rsidR="0055541A" w:rsidRPr="00145BDB" w:rsidRDefault="0055541A" w:rsidP="00A54D9F">
      <w:pPr>
        <w:pStyle w:val="NoSpacing"/>
        <w:spacing w:line="360" w:lineRule="auto"/>
        <w:rPr>
          <w:rFonts w:cs="Arial"/>
          <w:rtl/>
        </w:rPr>
      </w:pPr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2475B"/>
    <w:rsid w:val="00145BDB"/>
    <w:rsid w:val="001B350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2016-09-07T11:49:00Z</dcterms:created>
  <dcterms:modified xsi:type="dcterms:W3CDTF">2016-09-07T11:49:00Z</dcterms:modified>
</cp:coreProperties>
</file>